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BBCE6" w14:textId="77777777" w:rsidR="00086C25" w:rsidRDefault="00086C25">
      <w:pPr>
        <w:spacing w:line="360" w:lineRule="auto"/>
        <w:rPr>
          <w:b/>
          <w:bCs/>
          <w:sz w:val="36"/>
          <w:szCs w:val="44"/>
        </w:rPr>
      </w:pPr>
    </w:p>
    <w:p w14:paraId="4D919C10" w14:textId="3AE65F88" w:rsidR="00D70147" w:rsidRDefault="00A542BF">
      <w:pPr>
        <w:spacing w:line="360" w:lineRule="auto"/>
        <w:rPr>
          <w:b/>
          <w:bCs/>
          <w:sz w:val="36"/>
          <w:szCs w:val="44"/>
        </w:rPr>
      </w:pPr>
      <w:r>
        <w:rPr>
          <w:rFonts w:hint="eastAsia"/>
          <w:b/>
          <w:bCs/>
          <w:sz w:val="36"/>
          <w:szCs w:val="44"/>
        </w:rPr>
        <w:t>附件说明</w:t>
      </w:r>
    </w:p>
    <w:p w14:paraId="661CED86" w14:textId="77777777" w:rsidR="00D70147" w:rsidRDefault="00D70147">
      <w:pPr>
        <w:spacing w:line="360" w:lineRule="auto"/>
        <w:rPr>
          <w:b/>
          <w:bCs/>
          <w:sz w:val="36"/>
          <w:szCs w:val="44"/>
        </w:rPr>
      </w:pPr>
    </w:p>
    <w:p w14:paraId="7ED1141A" w14:textId="77777777" w:rsidR="00D70147" w:rsidRDefault="00A542BF">
      <w:pPr>
        <w:numPr>
          <w:ilvl w:val="0"/>
          <w:numId w:val="1"/>
        </w:numPr>
        <w:spacing w:line="360" w:lineRule="auto"/>
        <w:rPr>
          <w:b/>
          <w:bCs/>
          <w:sz w:val="24"/>
          <w:szCs w:val="32"/>
        </w:rPr>
      </w:pPr>
      <w:r>
        <w:rPr>
          <w:rFonts w:hint="eastAsia"/>
          <w:b/>
          <w:bCs/>
          <w:sz w:val="24"/>
          <w:szCs w:val="32"/>
        </w:rPr>
        <w:t>相干光量子计算机简介</w:t>
      </w:r>
    </w:p>
    <w:p w14:paraId="35FD3543" w14:textId="77777777" w:rsidR="00D70147" w:rsidRDefault="00A542BF">
      <w:pPr>
        <w:spacing w:line="360" w:lineRule="auto"/>
        <w:ind w:firstLineChars="200" w:firstLine="420"/>
      </w:pPr>
      <w:r>
        <w:rPr>
          <w:rFonts w:hint="eastAsia"/>
        </w:rPr>
        <w:t>随着社会各领域数字化的加速跃升，人类面临越来越多、越来越复杂的组合优化类数学问题，如人工智能、物流运输、药物研究、金融工程、通信网络、集成电路设计等领域都涉及到组合优化。这些问题所需的计算时间随着问题规模的增加呈指数增长，导致现有的基于冯·诺依曼架构的经典计算机，很难在可接受的时间范围内找到此类问题的精确解。</w:t>
      </w:r>
    </w:p>
    <w:p w14:paraId="4DF12315" w14:textId="77777777" w:rsidR="00D70147" w:rsidRDefault="00A542BF">
      <w:pPr>
        <w:spacing w:line="360" w:lineRule="auto"/>
        <w:ind w:firstLineChars="200" w:firstLine="420"/>
      </w:pPr>
      <w:r>
        <w:rPr>
          <w:rFonts w:hint="eastAsia"/>
        </w:rPr>
        <w:t>玻色量子自研的相干光量子计算机，就是更适于求解此类问题的一种新型的量子计算设备，它可以将组合优化问题转换为相互作用的自旋（</w:t>
      </w:r>
      <w:r>
        <w:rPr>
          <w:rFonts w:hint="eastAsia"/>
        </w:rPr>
        <w:t>spin</w:t>
      </w:r>
      <w:r>
        <w:rPr>
          <w:rFonts w:hint="eastAsia"/>
        </w:rPr>
        <w:t>）理论模型——伊辛模型（</w:t>
      </w:r>
      <w:r>
        <w:rPr>
          <w:rFonts w:hint="eastAsia"/>
        </w:rPr>
        <w:t>Ising Model</w:t>
      </w:r>
      <w:r>
        <w:rPr>
          <w:rFonts w:hint="eastAsia"/>
        </w:rPr>
        <w:t>），并映射到简并光参量振荡</w:t>
      </w:r>
      <w:r>
        <w:rPr>
          <w:rFonts w:hint="eastAsia"/>
        </w:rPr>
        <w:t>(Degenerate Optical Parametric Oscillator, DOPO)</w:t>
      </w:r>
      <w:r>
        <w:rPr>
          <w:rFonts w:hint="eastAsia"/>
        </w:rPr>
        <w:t>所构建的人工自旋网络量子物理系统上，通过找到系统的“基态“去求解相应的组合优化问题。也就是找到了该人工自旋网络中处于“最强”的集体振荡模式，就找到了给定伊辛问题的最优解。由于伊辛问题可以约化为其它多种</w:t>
      </w:r>
      <w:r>
        <w:rPr>
          <w:rFonts w:hint="eastAsia"/>
        </w:rPr>
        <w:t>NP-Complete</w:t>
      </w:r>
      <w:r>
        <w:rPr>
          <w:rFonts w:hint="eastAsia"/>
        </w:rPr>
        <w:t>问题，这意味着相干光量子计算机设备可用于其他多种</w:t>
      </w:r>
      <w:r>
        <w:rPr>
          <w:rFonts w:hint="eastAsia"/>
        </w:rPr>
        <w:t>NP-Complete</w:t>
      </w:r>
      <w:r>
        <w:rPr>
          <w:rFonts w:hint="eastAsia"/>
        </w:rPr>
        <w:t>问题的求解。</w:t>
      </w:r>
    </w:p>
    <w:p w14:paraId="36DBAB01" w14:textId="77777777" w:rsidR="00D70147" w:rsidRDefault="00A542BF">
      <w:pPr>
        <w:spacing w:line="360" w:lineRule="auto"/>
        <w:ind w:firstLineChars="200" w:firstLine="420"/>
      </w:pPr>
      <w:r>
        <w:rPr>
          <w:rFonts w:hint="eastAsia"/>
        </w:rPr>
        <w:t>相干光量子计算机系统内部的工作方式，类似于一种人工自旋组成的可编程网络，如同一个真实的一维的伊辛自旋系统，它包含多个相互作用的电子自旋，每个自旋的状态只能“向上”或者“向下”，系统整体倾向处于最低能量状态。其结构如下图所示：</w:t>
      </w:r>
    </w:p>
    <w:p w14:paraId="243C1F0E" w14:textId="77777777" w:rsidR="00D70147" w:rsidRDefault="00A542BF">
      <w:pPr>
        <w:spacing w:line="360" w:lineRule="auto"/>
        <w:rPr>
          <w:rFonts w:ascii="宋体" w:eastAsia="宋体" w:hAnsi="宋体" w:cs="宋体"/>
          <w:sz w:val="24"/>
        </w:rPr>
      </w:pPr>
      <w:r>
        <w:rPr>
          <w:rFonts w:ascii="宋体" w:eastAsia="宋体" w:hAnsi="宋体" w:cs="宋体"/>
          <w:noProof/>
          <w:sz w:val="24"/>
        </w:rPr>
        <w:drawing>
          <wp:inline distT="0" distB="0" distL="114300" distR="114300" wp14:anchorId="73E3AADF" wp14:editId="001F3409">
            <wp:extent cx="3927475" cy="2051050"/>
            <wp:effectExtent l="0" t="0" r="4445" b="6350"/>
            <wp:docPr id="3"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6"/>
                    <pic:cNvPicPr>
                      <a:picLocks noChangeAspect="1"/>
                    </pic:cNvPicPr>
                  </pic:nvPicPr>
                  <pic:blipFill>
                    <a:blip r:embed="rId7"/>
                    <a:stretch>
                      <a:fillRect/>
                    </a:stretch>
                  </pic:blipFill>
                  <pic:spPr>
                    <a:xfrm>
                      <a:off x="0" y="0"/>
                      <a:ext cx="3927475" cy="2051050"/>
                    </a:xfrm>
                    <a:prstGeom prst="rect">
                      <a:avLst/>
                    </a:prstGeom>
                    <a:noFill/>
                    <a:ln w="9525">
                      <a:noFill/>
                    </a:ln>
                  </pic:spPr>
                </pic:pic>
              </a:graphicData>
            </a:graphic>
          </wp:inline>
        </w:drawing>
      </w:r>
    </w:p>
    <w:p w14:paraId="31801FD3" w14:textId="77777777" w:rsidR="00D70147" w:rsidRDefault="00A542BF">
      <w:pPr>
        <w:spacing w:line="360" w:lineRule="auto"/>
        <w:ind w:firstLineChars="200" w:firstLine="420"/>
      </w:pPr>
      <w:r>
        <w:rPr>
          <w:rFonts w:hint="eastAsia"/>
        </w:rPr>
        <w:t>如果上述伊辛网络之间的链接可以被编程以代表实际的问题，则可以模拟系统的演化。一旦它们设定了需要面对的最优化、低能量方向，通过测量系统的最终状态，就可以获得原本问题的最优化解决方案。</w:t>
      </w:r>
    </w:p>
    <w:p w14:paraId="1B519CEC" w14:textId="77777777" w:rsidR="00D70147" w:rsidRDefault="00A542BF">
      <w:pPr>
        <w:spacing w:line="360" w:lineRule="auto"/>
        <w:ind w:firstLineChars="200" w:firstLine="420"/>
      </w:pPr>
      <w:r>
        <w:rPr>
          <w:rFonts w:hint="eastAsia"/>
        </w:rPr>
        <w:lastRenderedPageBreak/>
        <w:t>在玻色量子的相干光量子计算机系统硬件上，利用了光纤环的设计，通过激光脉冲泵浦周期极化的铌酸锂晶体，</w:t>
      </w:r>
      <w:r>
        <w:rPr>
          <w:rFonts w:hint="eastAsia"/>
        </w:rPr>
        <w:t xml:space="preserve"> </w:t>
      </w:r>
      <w:r>
        <w:rPr>
          <w:rFonts w:hint="eastAsia"/>
        </w:rPr>
        <w:t>产生参量振荡过程的两个同频率脉冲。其原理是将激光脉冲时序编码为自旋链，</w:t>
      </w:r>
      <w:r>
        <w:rPr>
          <w:rFonts w:hint="eastAsia"/>
        </w:rPr>
        <w:t xml:space="preserve"> </w:t>
      </w:r>
      <w:r>
        <w:rPr>
          <w:rFonts w:hint="eastAsia"/>
        </w:rPr>
        <w:t>通过简并光学参量振荡（</w:t>
      </w:r>
      <w:r>
        <w:rPr>
          <w:rFonts w:hint="eastAsia"/>
        </w:rPr>
        <w:t>DOPO</w:t>
      </w:r>
      <w:r>
        <w:rPr>
          <w:rFonts w:hint="eastAsia"/>
        </w:rPr>
        <w:t>）过程，将脉冲的相位</w:t>
      </w:r>
      <w:r>
        <w:rPr>
          <w:rFonts w:hint="eastAsia"/>
        </w:rPr>
        <w:t xml:space="preserve"> 0 </w:t>
      </w:r>
      <w:r>
        <w:rPr>
          <w:rFonts w:hint="eastAsia"/>
        </w:rPr>
        <w:t>或者π标记为自旋链中的电子自旋。接下来通过测量——反馈过程，利用</w:t>
      </w:r>
      <w:r>
        <w:rPr>
          <w:rFonts w:hint="eastAsia"/>
        </w:rPr>
        <w:t xml:space="preserve"> FPGA </w:t>
      </w:r>
      <w:r>
        <w:rPr>
          <w:rFonts w:hint="eastAsia"/>
        </w:rPr>
        <w:t>控制另外一路脉冲的强度和相位，制备新的脉冲在特定的时序注入，从而实现脉冲间的相互作用，构建出相干伊辛网络。然后通过控制泵浦光的强度在阈值附近的变化，实现自旋链的演化计算过程。下图是实验装置图。</w:t>
      </w:r>
    </w:p>
    <w:p w14:paraId="24FDD736" w14:textId="77777777" w:rsidR="00D70147" w:rsidRDefault="00A542BF" w:rsidP="000B42BC">
      <w:pPr>
        <w:spacing w:line="360" w:lineRule="auto"/>
        <w:jc w:val="center"/>
        <w:rPr>
          <w:rFonts w:ascii="宋体" w:eastAsia="宋体" w:hAnsi="宋体" w:cs="宋体"/>
          <w:sz w:val="24"/>
        </w:rPr>
      </w:pPr>
      <w:r>
        <w:rPr>
          <w:rFonts w:ascii="宋体" w:eastAsia="宋体" w:hAnsi="宋体" w:cs="宋体"/>
          <w:noProof/>
          <w:sz w:val="24"/>
        </w:rPr>
        <w:drawing>
          <wp:inline distT="0" distB="0" distL="114300" distR="114300" wp14:anchorId="481BFD09" wp14:editId="74C70BD9">
            <wp:extent cx="3737610" cy="2752090"/>
            <wp:effectExtent l="0" t="0" r="11430" b="6350"/>
            <wp:docPr id="4"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6"/>
                    <pic:cNvPicPr>
                      <a:picLocks noChangeAspect="1"/>
                    </pic:cNvPicPr>
                  </pic:nvPicPr>
                  <pic:blipFill>
                    <a:blip r:embed="rId8"/>
                    <a:stretch>
                      <a:fillRect/>
                    </a:stretch>
                  </pic:blipFill>
                  <pic:spPr>
                    <a:xfrm>
                      <a:off x="0" y="0"/>
                      <a:ext cx="3737610" cy="2752090"/>
                    </a:xfrm>
                    <a:prstGeom prst="rect">
                      <a:avLst/>
                    </a:prstGeom>
                    <a:noFill/>
                    <a:ln w="9525">
                      <a:noFill/>
                    </a:ln>
                  </pic:spPr>
                </pic:pic>
              </a:graphicData>
            </a:graphic>
          </wp:inline>
        </w:drawing>
      </w:r>
    </w:p>
    <w:p w14:paraId="3936056A" w14:textId="77777777" w:rsidR="00D70147" w:rsidRDefault="00A542BF">
      <w:pPr>
        <w:spacing w:line="360" w:lineRule="auto"/>
        <w:ind w:firstLineChars="200" w:firstLine="420"/>
      </w:pPr>
      <w:r>
        <w:rPr>
          <w:rFonts w:hint="eastAsia"/>
        </w:rPr>
        <w:t>环形谐振器的往返时间</w:t>
      </w:r>
      <w:proofErr w:type="spellStart"/>
      <w:r>
        <w:rPr>
          <w:rFonts w:hint="eastAsia"/>
        </w:rPr>
        <w:t>tcavity</w:t>
      </w:r>
      <w:proofErr w:type="spellEnd"/>
      <w:r>
        <w:rPr>
          <w:rFonts w:hint="eastAsia"/>
        </w:rPr>
        <w:t xml:space="preserve"> </w:t>
      </w:r>
      <w:r>
        <w:rPr>
          <w:rFonts w:hint="eastAsia"/>
        </w:rPr>
        <w:t>是泵脉冲重复周期</w:t>
      </w:r>
      <w:r>
        <w:rPr>
          <w:rFonts w:hint="eastAsia"/>
        </w:rPr>
        <w:t xml:space="preserve"> Tr </w:t>
      </w:r>
      <w:r>
        <w:rPr>
          <w:rFonts w:hint="eastAsia"/>
        </w:rPr>
        <w:t>的</w:t>
      </w:r>
      <w:r>
        <w:rPr>
          <w:rFonts w:hint="eastAsia"/>
        </w:rPr>
        <w:t>n</w:t>
      </w:r>
      <w:r>
        <w:rPr>
          <w:rFonts w:hint="eastAsia"/>
        </w:rPr>
        <w:t>倍，这些独立但完全相同的</w:t>
      </w:r>
      <w:r>
        <w:rPr>
          <w:rFonts w:hint="eastAsia"/>
        </w:rPr>
        <w:t>DOPO</w:t>
      </w:r>
      <w:r>
        <w:rPr>
          <w:rFonts w:hint="eastAsia"/>
        </w:rPr>
        <w:t>脉冲之间的耦合是通过测量反馈在谐振器路径中使用输出和输入耦合器来实现的。在每一对中，约有</w:t>
      </w:r>
      <w:r>
        <w:rPr>
          <w:rFonts w:hint="eastAsia"/>
        </w:rPr>
        <w:t>4%</w:t>
      </w:r>
      <w:r>
        <w:rPr>
          <w:rFonts w:hint="eastAsia"/>
        </w:rPr>
        <w:t>的内腔功率被耦合出来并精确地延迟在自由空间延迟线中；每个延迟是重复周期的整数倍，并且</w:t>
      </w:r>
      <w:r>
        <w:rPr>
          <w:rFonts w:hint="eastAsia"/>
        </w:rPr>
        <w:t>4%</w:t>
      </w:r>
      <w:r>
        <w:rPr>
          <w:rFonts w:hint="eastAsia"/>
        </w:rPr>
        <w:t>的外耦合光被注入回谐振器。这相当于</w:t>
      </w:r>
      <w:r>
        <w:rPr>
          <w:rFonts w:hint="eastAsia"/>
        </w:rPr>
        <w:t>DOPO</w:t>
      </w:r>
      <w:r>
        <w:rPr>
          <w:rFonts w:hint="eastAsia"/>
        </w:rPr>
        <w:t>之间有</w:t>
      </w:r>
      <w:r>
        <w:rPr>
          <w:rFonts w:hint="eastAsia"/>
        </w:rPr>
        <w:t>4%</w:t>
      </w:r>
      <w:r>
        <w:rPr>
          <w:rFonts w:hint="eastAsia"/>
        </w:rPr>
        <w:t>的场耦合。通过实现两个</w:t>
      </w:r>
      <w:r>
        <w:rPr>
          <w:rFonts w:hint="eastAsia"/>
        </w:rPr>
        <w:t>DOPO</w:t>
      </w:r>
      <w:r>
        <w:rPr>
          <w:rFonts w:hint="eastAsia"/>
        </w:rPr>
        <w:t>之间成比例的相互耦合，并注入与单个</w:t>
      </w:r>
      <w:r>
        <w:rPr>
          <w:rFonts w:hint="eastAsia"/>
        </w:rPr>
        <w:t>DOPO</w:t>
      </w:r>
      <w:r>
        <w:rPr>
          <w:rFonts w:hint="eastAsia"/>
        </w:rPr>
        <w:t>成比例的直流场，能够将能量函数</w:t>
      </w:r>
      <w:r>
        <w:rPr>
          <w:rFonts w:hint="eastAsia"/>
        </w:rPr>
        <w:t>H</w:t>
      </w:r>
      <w:r>
        <w:rPr>
          <w:rFonts w:hint="eastAsia"/>
        </w:rPr>
        <w:t>映射到</w:t>
      </w:r>
      <w:r>
        <w:rPr>
          <w:rFonts w:hint="eastAsia"/>
        </w:rPr>
        <w:t>DOPO</w:t>
      </w:r>
      <w:r>
        <w:rPr>
          <w:rFonts w:hint="eastAsia"/>
        </w:rPr>
        <w:t>网络的有效损耗，即光子衰减率。这样一个具有可扩展架构的系统，它使用测量——反馈电路，可以实现任何自旋和任何其他自旋之间的连接，并且是完全可编程的。</w:t>
      </w:r>
    </w:p>
    <w:p w14:paraId="687A8255" w14:textId="77777777" w:rsidR="00D70147" w:rsidRDefault="00A542BF">
      <w:pPr>
        <w:spacing w:line="360" w:lineRule="auto"/>
        <w:ind w:firstLineChars="200" w:firstLine="420"/>
      </w:pPr>
      <w:r>
        <w:rPr>
          <w:rFonts w:hint="eastAsia"/>
        </w:rPr>
        <w:t>根据上述的原理，相干光量子计算机能够找到伊辛问题的精确解。</w:t>
      </w:r>
    </w:p>
    <w:p w14:paraId="3EE6D404" w14:textId="77777777" w:rsidR="00D70147" w:rsidRDefault="00A542BF">
      <w:pPr>
        <w:numPr>
          <w:ilvl w:val="0"/>
          <w:numId w:val="1"/>
        </w:numPr>
        <w:spacing w:line="360" w:lineRule="auto"/>
        <w:rPr>
          <w:b/>
          <w:bCs/>
          <w:sz w:val="24"/>
          <w:szCs w:val="32"/>
        </w:rPr>
      </w:pPr>
      <w:r>
        <w:rPr>
          <w:rFonts w:hint="eastAsia"/>
          <w:b/>
          <w:bCs/>
          <w:sz w:val="24"/>
          <w:szCs w:val="32"/>
        </w:rPr>
        <w:t>Ising</w:t>
      </w:r>
      <w:r>
        <w:rPr>
          <w:rFonts w:hint="eastAsia"/>
          <w:b/>
          <w:bCs/>
          <w:sz w:val="24"/>
          <w:szCs w:val="32"/>
        </w:rPr>
        <w:t>模型介绍</w:t>
      </w:r>
    </w:p>
    <w:p w14:paraId="38606ED3" w14:textId="77777777" w:rsidR="00D70147" w:rsidRDefault="00A542BF">
      <w:pPr>
        <w:pStyle w:val="a3"/>
        <w:widowControl/>
        <w:shd w:val="clear" w:color="auto" w:fill="FCFCFC"/>
        <w:spacing w:beforeAutospacing="0" w:after="288" w:afterAutospacing="0" w:line="288" w:lineRule="atLeast"/>
        <w:ind w:firstLineChars="200" w:firstLine="420"/>
        <w:rPr>
          <w:rFonts w:cstheme="minorBidi"/>
          <w:kern w:val="2"/>
          <w:sz w:val="21"/>
        </w:rPr>
      </w:pPr>
      <w:r>
        <w:rPr>
          <w:rFonts w:cstheme="minorBidi"/>
          <w:kern w:val="2"/>
          <w:sz w:val="21"/>
        </w:rPr>
        <w:t>伊辛模型</w:t>
      </w:r>
      <w:r>
        <w:rPr>
          <w:rFonts w:cstheme="minorBidi"/>
          <w:kern w:val="2"/>
          <w:sz w:val="21"/>
        </w:rPr>
        <w:t>(Ising Model)</w:t>
      </w:r>
      <w:r>
        <w:rPr>
          <w:rFonts w:cstheme="minorBidi"/>
          <w:kern w:val="2"/>
          <w:sz w:val="21"/>
        </w:rPr>
        <w:t>，是一类描述物质相变的随机过程模型。抽象为数学形式为：</w:t>
      </w:r>
    </w:p>
    <w:p w14:paraId="66887888" w14:textId="77777777" w:rsidR="00D70147" w:rsidRDefault="00A542BF">
      <w:pPr>
        <w:pStyle w:val="a3"/>
        <w:widowControl/>
        <w:spacing w:beforeAutospacing="0" w:after="288" w:afterAutospacing="0" w:line="288" w:lineRule="atLeast"/>
        <w:jc w:val="center"/>
        <w:rPr>
          <w:rFonts w:cstheme="minorBidi"/>
          <w:kern w:val="2"/>
          <w:sz w:val="21"/>
        </w:rPr>
      </w:pPr>
      <w:r>
        <w:rPr>
          <w:rFonts w:cstheme="minorBidi"/>
          <w:noProof/>
          <w:kern w:val="2"/>
          <w:sz w:val="21"/>
        </w:rPr>
        <w:drawing>
          <wp:inline distT="0" distB="0" distL="114300" distR="114300" wp14:anchorId="131E7A4C" wp14:editId="13466FD5">
            <wp:extent cx="2466975" cy="400050"/>
            <wp:effectExtent l="0" t="0" r="1905" b="11430"/>
            <wp:docPr id="9"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5" descr="IMG_256"/>
                    <pic:cNvPicPr>
                      <a:picLocks noChangeAspect="1"/>
                    </pic:cNvPicPr>
                  </pic:nvPicPr>
                  <pic:blipFill>
                    <a:blip r:embed="rId9"/>
                    <a:stretch>
                      <a:fillRect/>
                    </a:stretch>
                  </pic:blipFill>
                  <pic:spPr>
                    <a:xfrm>
                      <a:off x="0" y="0"/>
                      <a:ext cx="2466975" cy="400050"/>
                    </a:xfrm>
                    <a:prstGeom prst="rect">
                      <a:avLst/>
                    </a:prstGeom>
                    <a:noFill/>
                    <a:ln w="9525">
                      <a:noFill/>
                    </a:ln>
                  </pic:spPr>
                </pic:pic>
              </a:graphicData>
            </a:graphic>
          </wp:inline>
        </w:drawing>
      </w:r>
    </w:p>
    <w:p w14:paraId="1C84D81E" w14:textId="63B0D9FB" w:rsidR="00D70147" w:rsidRDefault="00A542BF">
      <w:pPr>
        <w:pStyle w:val="a3"/>
        <w:widowControl/>
        <w:shd w:val="clear" w:color="auto" w:fill="FCFCFC"/>
        <w:spacing w:beforeAutospacing="0" w:after="288" w:afterAutospacing="0" w:line="288" w:lineRule="atLeast"/>
        <w:rPr>
          <w:rFonts w:cstheme="minorBidi"/>
          <w:kern w:val="2"/>
          <w:sz w:val="21"/>
        </w:rPr>
      </w:pPr>
      <w:r>
        <w:rPr>
          <w:rFonts w:cstheme="minorBidi"/>
          <w:kern w:val="2"/>
          <w:sz w:val="21"/>
        </w:rPr>
        <w:lastRenderedPageBreak/>
        <w:t>其中</w:t>
      </w:r>
      <w:r>
        <w:rPr>
          <w:rFonts w:cstheme="minorBidi"/>
          <w:noProof/>
          <w:kern w:val="2"/>
          <w:sz w:val="21"/>
        </w:rPr>
        <w:drawing>
          <wp:inline distT="0" distB="0" distL="114300" distR="114300" wp14:anchorId="103CF707" wp14:editId="0DDD874F">
            <wp:extent cx="104775" cy="76200"/>
            <wp:effectExtent l="0" t="0" r="1905" b="0"/>
            <wp:docPr id="10" name="图片 6"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6" descr="IMG_257"/>
                    <pic:cNvPicPr>
                      <a:picLocks noChangeAspect="1"/>
                    </pic:cNvPicPr>
                  </pic:nvPicPr>
                  <pic:blipFill>
                    <a:blip r:embed="rId10"/>
                    <a:stretch>
                      <a:fillRect/>
                    </a:stretch>
                  </pic:blipFill>
                  <pic:spPr>
                    <a:xfrm>
                      <a:off x="0" y="0"/>
                      <a:ext cx="104775" cy="76200"/>
                    </a:xfrm>
                    <a:prstGeom prst="rect">
                      <a:avLst/>
                    </a:prstGeom>
                    <a:noFill/>
                    <a:ln w="9525">
                      <a:noFill/>
                    </a:ln>
                  </pic:spPr>
                </pic:pic>
              </a:graphicData>
            </a:graphic>
          </wp:inline>
        </w:drawing>
      </w:r>
      <w:r>
        <w:rPr>
          <w:rFonts w:cstheme="minorBidi"/>
          <w:kern w:val="2"/>
          <w:sz w:val="21"/>
        </w:rPr>
        <w:t>为待求自旋变量，取值为</w:t>
      </w:r>
      <w:r w:rsidR="000B42BC">
        <w:rPr>
          <w:rFonts w:cstheme="minorBidi" w:hint="eastAsia"/>
          <w:kern w:val="2"/>
          <w:sz w:val="21"/>
        </w:rPr>
        <w:t>{-1,1}</w:t>
      </w:r>
      <w:r>
        <w:rPr>
          <w:rFonts w:cstheme="minorBidi"/>
          <w:kern w:val="2"/>
          <w:sz w:val="21"/>
        </w:rPr>
        <w:t>，</w:t>
      </w:r>
      <w:r>
        <w:rPr>
          <w:rFonts w:cstheme="minorBidi"/>
          <w:kern w:val="2"/>
          <w:sz w:val="21"/>
        </w:rPr>
        <w:t> </w:t>
      </w:r>
      <w:r w:rsidR="000B42BC" w:rsidRPr="000B42BC">
        <w:rPr>
          <w:rFonts w:cstheme="minorBidi" w:hint="eastAsia"/>
          <w:b/>
          <w:bCs/>
          <w:i/>
          <w:iCs/>
          <w:noProof/>
          <w:kern w:val="2"/>
          <w:sz w:val="21"/>
        </w:rPr>
        <w:t>H</w:t>
      </w:r>
      <w:r>
        <w:rPr>
          <w:rFonts w:cstheme="minorBidi"/>
          <w:kern w:val="2"/>
          <w:sz w:val="21"/>
        </w:rPr>
        <w:t>为哈密顿量，</w:t>
      </w:r>
      <w:r>
        <w:rPr>
          <w:rFonts w:cstheme="minorBidi"/>
          <w:kern w:val="2"/>
          <w:sz w:val="21"/>
        </w:rPr>
        <w:t> </w:t>
      </w:r>
      <w:r w:rsidR="000B42BC" w:rsidRPr="000B42BC">
        <w:rPr>
          <w:rFonts w:cstheme="minorBidi" w:hint="eastAsia"/>
          <w:b/>
          <w:bCs/>
          <w:i/>
          <w:iCs/>
          <w:noProof/>
          <w:kern w:val="2"/>
          <w:sz w:val="21"/>
        </w:rPr>
        <w:t>J</w:t>
      </w:r>
      <w:r>
        <w:rPr>
          <w:rFonts w:cstheme="minorBidi"/>
          <w:kern w:val="2"/>
          <w:sz w:val="21"/>
        </w:rPr>
        <w:t>为二次项系数，</w:t>
      </w:r>
      <w:r w:rsidR="000B42BC">
        <w:rPr>
          <w:rFonts w:cstheme="minorBidi" w:hint="eastAsia"/>
          <w:noProof/>
          <w:kern w:val="2"/>
          <w:sz w:val="21"/>
        </w:rPr>
        <w:t>μ</w:t>
      </w:r>
      <w:r>
        <w:rPr>
          <w:rFonts w:cstheme="minorBidi"/>
          <w:kern w:val="2"/>
          <w:sz w:val="21"/>
        </w:rPr>
        <w:t>和</w:t>
      </w:r>
      <w:r w:rsidR="000B42BC">
        <w:rPr>
          <w:rFonts w:cstheme="minorBidi" w:hint="eastAsia"/>
          <w:noProof/>
          <w:kern w:val="2"/>
          <w:sz w:val="21"/>
        </w:rPr>
        <w:t>h</w:t>
      </w:r>
      <w:r>
        <w:rPr>
          <w:rFonts w:cstheme="minorBidi"/>
          <w:kern w:val="2"/>
          <w:sz w:val="21"/>
        </w:rPr>
        <w:t>为线性项系数，是已知量。</w:t>
      </w:r>
    </w:p>
    <w:p w14:paraId="2F63C127" w14:textId="77777777" w:rsidR="00D70147" w:rsidRDefault="00A542BF">
      <w:pPr>
        <w:numPr>
          <w:ilvl w:val="0"/>
          <w:numId w:val="1"/>
        </w:numPr>
        <w:spacing w:line="360" w:lineRule="auto"/>
        <w:rPr>
          <w:b/>
          <w:bCs/>
          <w:sz w:val="24"/>
          <w:szCs w:val="32"/>
        </w:rPr>
      </w:pPr>
      <w:r>
        <w:rPr>
          <w:rFonts w:hint="eastAsia"/>
          <w:b/>
          <w:bCs/>
          <w:sz w:val="24"/>
          <w:szCs w:val="32"/>
        </w:rPr>
        <w:t>QUBO</w:t>
      </w:r>
      <w:r>
        <w:rPr>
          <w:rFonts w:hint="eastAsia"/>
          <w:b/>
          <w:bCs/>
          <w:sz w:val="24"/>
          <w:szCs w:val="32"/>
        </w:rPr>
        <w:t>模型</w:t>
      </w:r>
    </w:p>
    <w:p w14:paraId="20F5CF3C" w14:textId="77777777" w:rsidR="00D70147" w:rsidRDefault="00A542BF">
      <w:pPr>
        <w:pStyle w:val="a3"/>
        <w:widowControl/>
        <w:shd w:val="clear" w:color="auto" w:fill="FCFCFC"/>
        <w:spacing w:beforeAutospacing="0" w:after="288" w:afterAutospacing="0" w:line="288" w:lineRule="atLeast"/>
        <w:rPr>
          <w:rFonts w:cstheme="minorBidi"/>
          <w:kern w:val="2"/>
          <w:sz w:val="21"/>
        </w:rPr>
      </w:pPr>
      <w:r>
        <w:rPr>
          <w:rFonts w:cstheme="minorBidi"/>
          <w:kern w:val="2"/>
          <w:sz w:val="21"/>
        </w:rPr>
        <w:t>二次无约束二值优化问题</w:t>
      </w:r>
      <w:r>
        <w:rPr>
          <w:rFonts w:cstheme="minorBidi"/>
          <w:kern w:val="2"/>
          <w:sz w:val="21"/>
        </w:rPr>
        <w:t>(Quadratic unconstrained binary optimization</w:t>
      </w:r>
      <w:r>
        <w:rPr>
          <w:rFonts w:cstheme="minorBidi"/>
          <w:kern w:val="2"/>
          <w:sz w:val="21"/>
        </w:rPr>
        <w:t>，简称</w:t>
      </w:r>
      <w:r>
        <w:rPr>
          <w:rFonts w:cstheme="minorBidi"/>
          <w:kern w:val="2"/>
          <w:sz w:val="21"/>
        </w:rPr>
        <w:t>QUBO)</w:t>
      </w:r>
      <w:r>
        <w:rPr>
          <w:rFonts w:cstheme="minorBidi"/>
          <w:kern w:val="2"/>
          <w:sz w:val="21"/>
        </w:rPr>
        <w:t>，其数学形式如下：</w:t>
      </w:r>
    </w:p>
    <w:p w14:paraId="111BF103" w14:textId="77777777" w:rsidR="00D70147" w:rsidRDefault="00A542BF" w:rsidP="000B42BC">
      <w:pPr>
        <w:pStyle w:val="a3"/>
        <w:widowControl/>
        <w:shd w:val="clear" w:color="auto" w:fill="FCFCFC"/>
        <w:spacing w:beforeAutospacing="0" w:after="288" w:afterAutospacing="0" w:line="288" w:lineRule="atLeast"/>
        <w:jc w:val="center"/>
        <w:rPr>
          <w:rFonts w:cstheme="minorBidi"/>
          <w:kern w:val="2"/>
          <w:sz w:val="21"/>
        </w:rPr>
      </w:pPr>
      <w:r>
        <w:rPr>
          <w:rFonts w:cstheme="minorBidi"/>
          <w:noProof/>
          <w:kern w:val="2"/>
          <w:sz w:val="21"/>
        </w:rPr>
        <w:drawing>
          <wp:inline distT="0" distB="0" distL="114300" distR="114300" wp14:anchorId="1E59CD9C" wp14:editId="76319A99">
            <wp:extent cx="1409700" cy="400050"/>
            <wp:effectExtent l="0" t="0" r="7620" b="11430"/>
            <wp:docPr id="22" name="图片 1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2" descr="IMG_256"/>
                    <pic:cNvPicPr>
                      <a:picLocks noChangeAspect="1"/>
                    </pic:cNvPicPr>
                  </pic:nvPicPr>
                  <pic:blipFill>
                    <a:blip r:embed="rId11"/>
                    <a:stretch>
                      <a:fillRect/>
                    </a:stretch>
                  </pic:blipFill>
                  <pic:spPr>
                    <a:xfrm>
                      <a:off x="0" y="0"/>
                      <a:ext cx="1409700" cy="400050"/>
                    </a:xfrm>
                    <a:prstGeom prst="rect">
                      <a:avLst/>
                    </a:prstGeom>
                    <a:noFill/>
                    <a:ln w="9525">
                      <a:noFill/>
                    </a:ln>
                  </pic:spPr>
                </pic:pic>
              </a:graphicData>
            </a:graphic>
          </wp:inline>
        </w:drawing>
      </w:r>
    </w:p>
    <w:p w14:paraId="77F9CD1D" w14:textId="16E9530B" w:rsidR="00D70147" w:rsidRDefault="00A542BF">
      <w:pPr>
        <w:pStyle w:val="a3"/>
        <w:widowControl/>
        <w:shd w:val="clear" w:color="auto" w:fill="FCFCFC"/>
        <w:spacing w:beforeAutospacing="0" w:after="288" w:afterAutospacing="0" w:line="288" w:lineRule="atLeast"/>
        <w:rPr>
          <w:rFonts w:cstheme="minorBidi"/>
          <w:kern w:val="2"/>
          <w:sz w:val="21"/>
        </w:rPr>
      </w:pPr>
      <w:r>
        <w:rPr>
          <w:rFonts w:cstheme="minorBidi"/>
          <w:kern w:val="2"/>
          <w:sz w:val="21"/>
        </w:rPr>
        <w:t>其中</w:t>
      </w:r>
      <w:r w:rsidR="000B42BC">
        <w:rPr>
          <w:rFonts w:cstheme="minorBidi" w:hint="eastAsia"/>
          <w:noProof/>
          <w:kern w:val="2"/>
          <w:sz w:val="21"/>
        </w:rPr>
        <w:t>x</w:t>
      </w:r>
      <w:r>
        <w:rPr>
          <w:rFonts w:cstheme="minorBidi"/>
          <w:kern w:val="2"/>
          <w:sz w:val="21"/>
        </w:rPr>
        <w:t>为待求二进制变量</w:t>
      </w:r>
      <w:r>
        <w:rPr>
          <w:rFonts w:cstheme="minorBidi"/>
          <w:kern w:val="2"/>
          <w:sz w:val="21"/>
        </w:rPr>
        <w:t xml:space="preserve">, </w:t>
      </w:r>
      <w:r>
        <w:rPr>
          <w:rFonts w:cstheme="minorBidi"/>
          <w:kern w:val="2"/>
          <w:sz w:val="21"/>
        </w:rPr>
        <w:t>取值为</w:t>
      </w:r>
      <w:r w:rsidR="000B42BC">
        <w:rPr>
          <w:rFonts w:cstheme="minorBidi" w:hint="eastAsia"/>
          <w:noProof/>
          <w:kern w:val="2"/>
          <w:sz w:val="21"/>
        </w:rPr>
        <w:t>{0,1}</w:t>
      </w:r>
      <w:r w:rsidR="000B42BC">
        <w:rPr>
          <w:rFonts w:cstheme="minorBidi" w:hint="eastAsia"/>
          <w:kern w:val="2"/>
          <w:sz w:val="21"/>
        </w:rPr>
        <w:t>，</w:t>
      </w:r>
      <w:r>
        <w:rPr>
          <w:rFonts w:cstheme="minorBidi"/>
          <w:kern w:val="2"/>
          <w:sz w:val="21"/>
        </w:rPr>
        <w:t> </w:t>
      </w:r>
      <w:r w:rsidR="000B42BC">
        <w:rPr>
          <w:rFonts w:cstheme="minorBidi" w:hint="eastAsia"/>
          <w:noProof/>
          <w:kern w:val="2"/>
          <w:sz w:val="21"/>
        </w:rPr>
        <w:t>f</w:t>
      </w:r>
      <w:r>
        <w:rPr>
          <w:rFonts w:cstheme="minorBidi"/>
          <w:kern w:val="2"/>
          <w:sz w:val="21"/>
        </w:rPr>
        <w:t>为目标函数</w:t>
      </w:r>
      <w:r w:rsidR="000B42BC">
        <w:rPr>
          <w:rFonts w:cstheme="minorBidi" w:hint="eastAsia"/>
          <w:kern w:val="2"/>
          <w:sz w:val="21"/>
        </w:rPr>
        <w:t>，</w:t>
      </w:r>
      <w:r>
        <w:rPr>
          <w:rFonts w:cstheme="minorBidi"/>
          <w:kern w:val="2"/>
          <w:sz w:val="21"/>
        </w:rPr>
        <w:t> </w:t>
      </w:r>
      <w:r w:rsidR="000B42BC">
        <w:rPr>
          <w:rFonts w:cstheme="minorBidi" w:hint="eastAsia"/>
          <w:noProof/>
          <w:kern w:val="2"/>
          <w:sz w:val="21"/>
        </w:rPr>
        <w:t>q</w:t>
      </w:r>
      <w:r>
        <w:rPr>
          <w:rFonts w:cstheme="minorBidi"/>
          <w:kern w:val="2"/>
          <w:sz w:val="21"/>
        </w:rPr>
        <w:t>为二次项系数</w:t>
      </w:r>
      <w:r>
        <w:rPr>
          <w:rFonts w:cstheme="minorBidi"/>
          <w:kern w:val="2"/>
          <w:sz w:val="21"/>
        </w:rPr>
        <w:t xml:space="preserve">, </w:t>
      </w:r>
      <w:r>
        <w:rPr>
          <w:rFonts w:cstheme="minorBidi"/>
          <w:kern w:val="2"/>
          <w:sz w:val="21"/>
        </w:rPr>
        <w:t>是已知量</w:t>
      </w:r>
      <w:r w:rsidR="000B42BC">
        <w:rPr>
          <w:rFonts w:cstheme="minorBidi" w:hint="eastAsia"/>
          <w:kern w:val="2"/>
          <w:sz w:val="21"/>
        </w:rPr>
        <w:t>。</w:t>
      </w:r>
      <w:r>
        <w:rPr>
          <w:rFonts w:cstheme="minorBidi"/>
          <w:kern w:val="2"/>
          <w:sz w:val="21"/>
        </w:rPr>
        <w:t>写成线性代数的形式</w:t>
      </w:r>
      <w:r>
        <w:rPr>
          <w:rFonts w:cstheme="minorBidi"/>
          <w:kern w:val="2"/>
          <w:sz w:val="21"/>
        </w:rPr>
        <w:t>:</w:t>
      </w:r>
    </w:p>
    <w:p w14:paraId="453EC73F" w14:textId="77777777" w:rsidR="00D70147" w:rsidRDefault="00A542BF" w:rsidP="000B42BC">
      <w:pPr>
        <w:pStyle w:val="a3"/>
        <w:widowControl/>
        <w:shd w:val="clear" w:color="auto" w:fill="FCFCFC"/>
        <w:spacing w:beforeAutospacing="0" w:after="288" w:afterAutospacing="0" w:line="288" w:lineRule="atLeast"/>
        <w:jc w:val="center"/>
        <w:rPr>
          <w:rFonts w:cstheme="minorBidi"/>
          <w:kern w:val="2"/>
          <w:sz w:val="21"/>
        </w:rPr>
      </w:pPr>
      <w:r>
        <w:rPr>
          <w:rFonts w:cstheme="minorBidi"/>
          <w:noProof/>
          <w:kern w:val="2"/>
          <w:sz w:val="21"/>
        </w:rPr>
        <w:drawing>
          <wp:inline distT="0" distB="0" distL="114300" distR="114300" wp14:anchorId="7FDDC6E2" wp14:editId="7A23B8AB">
            <wp:extent cx="1066800" cy="209550"/>
            <wp:effectExtent l="0" t="0" r="0" b="3810"/>
            <wp:docPr id="18" name="图片 17"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7" descr="IMG_261"/>
                    <pic:cNvPicPr>
                      <a:picLocks noChangeAspect="1"/>
                    </pic:cNvPicPr>
                  </pic:nvPicPr>
                  <pic:blipFill>
                    <a:blip r:embed="rId12"/>
                    <a:stretch>
                      <a:fillRect/>
                    </a:stretch>
                  </pic:blipFill>
                  <pic:spPr>
                    <a:xfrm>
                      <a:off x="0" y="0"/>
                      <a:ext cx="1066800" cy="209550"/>
                    </a:xfrm>
                    <a:prstGeom prst="rect">
                      <a:avLst/>
                    </a:prstGeom>
                    <a:noFill/>
                    <a:ln w="9525">
                      <a:noFill/>
                    </a:ln>
                  </pic:spPr>
                </pic:pic>
              </a:graphicData>
            </a:graphic>
          </wp:inline>
        </w:drawing>
      </w:r>
    </w:p>
    <w:p w14:paraId="146EA384" w14:textId="7DAD2A75" w:rsidR="00D70147" w:rsidRDefault="00A542BF">
      <w:pPr>
        <w:pStyle w:val="a3"/>
        <w:widowControl/>
        <w:shd w:val="clear" w:color="auto" w:fill="FCFCFC"/>
        <w:spacing w:beforeAutospacing="0" w:after="288" w:afterAutospacing="0" w:line="288" w:lineRule="atLeast"/>
        <w:rPr>
          <w:rFonts w:cstheme="minorBidi"/>
          <w:kern w:val="2"/>
          <w:sz w:val="21"/>
        </w:rPr>
      </w:pPr>
      <w:r>
        <w:rPr>
          <w:rFonts w:cstheme="minorBidi"/>
          <w:kern w:val="2"/>
          <w:sz w:val="21"/>
        </w:rPr>
        <w:t>其中</w:t>
      </w:r>
      <w:r>
        <w:rPr>
          <w:rFonts w:cstheme="minorBidi"/>
          <w:kern w:val="2"/>
          <w:sz w:val="21"/>
        </w:rPr>
        <w:t>, </w:t>
      </w:r>
      <w:r w:rsidR="000B42BC">
        <w:rPr>
          <w:rFonts w:cstheme="minorBidi" w:hint="eastAsia"/>
          <w:noProof/>
          <w:kern w:val="2"/>
          <w:sz w:val="21"/>
        </w:rPr>
        <w:t>x</w:t>
      </w:r>
      <w:r>
        <w:rPr>
          <w:rFonts w:cstheme="minorBidi"/>
          <w:kern w:val="2"/>
          <w:sz w:val="21"/>
        </w:rPr>
        <w:t>为二进制向量</w:t>
      </w:r>
      <w:r>
        <w:rPr>
          <w:rFonts w:cstheme="minorBidi"/>
          <w:kern w:val="2"/>
          <w:sz w:val="21"/>
        </w:rPr>
        <w:t>, </w:t>
      </w:r>
      <w:r w:rsidR="000B42BC">
        <w:rPr>
          <w:rFonts w:cstheme="minorBidi" w:hint="eastAsia"/>
          <w:noProof/>
          <w:kern w:val="2"/>
          <w:sz w:val="21"/>
        </w:rPr>
        <w:t>Q</w:t>
      </w:r>
      <w:r>
        <w:rPr>
          <w:rFonts w:cstheme="minorBidi"/>
          <w:kern w:val="2"/>
          <w:sz w:val="21"/>
        </w:rPr>
        <w:t>为</w:t>
      </w:r>
      <w:r>
        <w:rPr>
          <w:rFonts w:cstheme="minorBidi"/>
          <w:kern w:val="2"/>
          <w:sz w:val="21"/>
        </w:rPr>
        <w:t>QUBO</w:t>
      </w:r>
      <w:r>
        <w:rPr>
          <w:rFonts w:cstheme="minorBidi"/>
          <w:kern w:val="2"/>
          <w:sz w:val="21"/>
        </w:rPr>
        <w:t>矩阵</w:t>
      </w:r>
      <w:r>
        <w:rPr>
          <w:rFonts w:cstheme="minorBidi"/>
          <w:kern w:val="2"/>
          <w:sz w:val="21"/>
        </w:rPr>
        <w:t>, QUBO</w:t>
      </w:r>
      <w:r>
        <w:rPr>
          <w:rFonts w:cstheme="minorBidi"/>
          <w:kern w:val="2"/>
          <w:sz w:val="21"/>
        </w:rPr>
        <w:t>目标是找到使得</w:t>
      </w:r>
      <w:r w:rsidR="000B42BC">
        <w:rPr>
          <w:rFonts w:cstheme="minorBidi" w:hint="eastAsia"/>
          <w:noProof/>
          <w:kern w:val="2"/>
          <w:sz w:val="21"/>
        </w:rPr>
        <w:t>f</w:t>
      </w:r>
      <w:r>
        <w:rPr>
          <w:rFonts w:cstheme="minorBidi"/>
          <w:kern w:val="2"/>
          <w:sz w:val="21"/>
        </w:rPr>
        <w:t>最小或最大的</w:t>
      </w:r>
      <w:r w:rsidR="000B42BC">
        <w:rPr>
          <w:rFonts w:cstheme="minorBidi" w:hint="eastAsia"/>
          <w:kern w:val="2"/>
          <w:sz w:val="21"/>
        </w:rPr>
        <w:t>x</w:t>
      </w:r>
      <w:r w:rsidR="000B42BC">
        <w:rPr>
          <w:rFonts w:cstheme="minorBidi" w:hint="eastAsia"/>
          <w:kern w:val="2"/>
          <w:sz w:val="21"/>
        </w:rPr>
        <w:t>，</w:t>
      </w:r>
      <w:r>
        <w:rPr>
          <w:rFonts w:cstheme="minorBidi"/>
          <w:kern w:val="2"/>
          <w:sz w:val="21"/>
        </w:rPr>
        <w:t>即</w:t>
      </w:r>
      <w:r>
        <w:rPr>
          <w:rFonts w:cstheme="minorBidi"/>
          <w:kern w:val="2"/>
          <w:sz w:val="21"/>
        </w:rPr>
        <w:t>:</w:t>
      </w:r>
    </w:p>
    <w:p w14:paraId="0AB7D5ED" w14:textId="77777777" w:rsidR="000B42BC" w:rsidRDefault="00A542BF" w:rsidP="000B42BC">
      <w:pPr>
        <w:pStyle w:val="a3"/>
        <w:widowControl/>
        <w:shd w:val="clear" w:color="auto" w:fill="FCFCFC"/>
        <w:spacing w:beforeAutospacing="0" w:after="288" w:afterAutospacing="0" w:line="288" w:lineRule="atLeast"/>
        <w:jc w:val="center"/>
      </w:pPr>
      <w:r>
        <w:rPr>
          <w:rFonts w:cstheme="minorBidi"/>
          <w:noProof/>
          <w:kern w:val="2"/>
          <w:sz w:val="21"/>
        </w:rPr>
        <w:drawing>
          <wp:inline distT="0" distB="0" distL="114300" distR="114300" wp14:anchorId="233AB4EE" wp14:editId="1E3BC6F6">
            <wp:extent cx="1390650" cy="276225"/>
            <wp:effectExtent l="0" t="0" r="11430" b="13335"/>
            <wp:docPr id="19" name="图片 22" descr="IMG_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22" descr="IMG_266"/>
                    <pic:cNvPicPr>
                      <a:picLocks noChangeAspect="1"/>
                    </pic:cNvPicPr>
                  </pic:nvPicPr>
                  <pic:blipFill>
                    <a:blip r:embed="rId13"/>
                    <a:stretch>
                      <a:fillRect/>
                    </a:stretch>
                  </pic:blipFill>
                  <pic:spPr>
                    <a:xfrm>
                      <a:off x="0" y="0"/>
                      <a:ext cx="1390650" cy="276225"/>
                    </a:xfrm>
                    <a:prstGeom prst="rect">
                      <a:avLst/>
                    </a:prstGeom>
                    <a:noFill/>
                    <a:ln w="9525">
                      <a:noFill/>
                    </a:ln>
                  </pic:spPr>
                </pic:pic>
              </a:graphicData>
            </a:graphic>
          </wp:inline>
        </w:drawing>
      </w:r>
    </w:p>
    <w:p w14:paraId="0840A84D" w14:textId="5D87BBEB" w:rsidR="000B42BC" w:rsidRPr="000B42BC" w:rsidRDefault="000B42BC" w:rsidP="000B42BC">
      <w:pPr>
        <w:pStyle w:val="a3"/>
        <w:widowControl/>
        <w:shd w:val="clear" w:color="auto" w:fill="FCFCFC"/>
        <w:spacing w:beforeAutospacing="0" w:after="288" w:afterAutospacing="0" w:line="288" w:lineRule="atLeast"/>
        <w:rPr>
          <w:rFonts w:cstheme="minorBidi"/>
          <w:b/>
          <w:bCs/>
          <w:kern w:val="2"/>
          <w:szCs w:val="32"/>
        </w:rPr>
      </w:pPr>
      <w:r w:rsidRPr="000B42BC">
        <w:rPr>
          <w:rFonts w:cstheme="minorBidi" w:hint="eastAsia"/>
          <w:b/>
          <w:bCs/>
          <w:kern w:val="2"/>
          <w:szCs w:val="32"/>
        </w:rPr>
        <w:t>四、</w:t>
      </w:r>
      <w:r w:rsidR="00876A70">
        <w:rPr>
          <w:rFonts w:cstheme="minorBidi" w:hint="eastAsia"/>
          <w:b/>
          <w:bCs/>
          <w:kern w:val="2"/>
          <w:szCs w:val="32"/>
        </w:rPr>
        <w:t>参考文献</w:t>
      </w:r>
    </w:p>
    <w:p w14:paraId="33854C6B" w14:textId="77777777" w:rsidR="000B42BC" w:rsidRPr="00734252" w:rsidRDefault="000B42BC" w:rsidP="000B42BC">
      <w:pPr>
        <w:pStyle w:val="EndNoteBibliography"/>
        <w:ind w:left="720" w:hanging="720"/>
      </w:pPr>
      <w:r w:rsidRPr="0098785C">
        <w:fldChar w:fldCharType="begin"/>
      </w:r>
      <w:r w:rsidRPr="0098785C">
        <w:instrText xml:space="preserve"> ADDIN EN.REFLIST </w:instrText>
      </w:r>
      <w:r w:rsidRPr="0098785C">
        <w:fldChar w:fldCharType="separate"/>
      </w:r>
      <w:r w:rsidRPr="00734252">
        <w:t>1</w:t>
      </w:r>
      <w:r w:rsidRPr="00734252">
        <w:tab/>
        <w:t xml:space="preserve">Wang, Z., Marandi, A., Wen, K., Byer, R. L. &amp; Yamamoto, Y. Coherent Ising machine based on degenerate optical parametric oscillators. </w:t>
      </w:r>
      <w:r w:rsidRPr="00734252">
        <w:rPr>
          <w:i/>
        </w:rPr>
        <w:t>Physical Review A</w:t>
      </w:r>
      <w:r w:rsidRPr="00734252">
        <w:t xml:space="preserve"> </w:t>
      </w:r>
      <w:r w:rsidRPr="00734252">
        <w:rPr>
          <w:b/>
        </w:rPr>
        <w:t>88</w:t>
      </w:r>
      <w:r w:rsidRPr="00734252">
        <w:t xml:space="preserve"> (2013).</w:t>
      </w:r>
    </w:p>
    <w:p w14:paraId="1BD1726D" w14:textId="77777777" w:rsidR="000B42BC" w:rsidRPr="00734252" w:rsidRDefault="000B42BC" w:rsidP="000B42BC">
      <w:pPr>
        <w:pStyle w:val="EndNoteBibliography"/>
        <w:ind w:left="720" w:hanging="720"/>
      </w:pPr>
      <w:r w:rsidRPr="00734252">
        <w:t>2</w:t>
      </w:r>
      <w:r w:rsidRPr="00734252">
        <w:tab/>
        <w:t xml:space="preserve">Marandi, A., Wang, Z., Takata, K., Byer, R. L. &amp; Yamamoto, Y. Network of time-multiplexed optical parametric oscillators as a coherent Ising machine. </w:t>
      </w:r>
      <w:r w:rsidRPr="00734252">
        <w:rPr>
          <w:i/>
        </w:rPr>
        <w:t>Nat. Photonics.</w:t>
      </w:r>
      <w:r w:rsidRPr="00734252">
        <w:t xml:space="preserve"> </w:t>
      </w:r>
      <w:r w:rsidRPr="00734252">
        <w:rPr>
          <w:b/>
        </w:rPr>
        <w:t>8</w:t>
      </w:r>
      <w:r w:rsidRPr="00734252">
        <w:t>, 937-942 (2014).</w:t>
      </w:r>
    </w:p>
    <w:p w14:paraId="4D1F72FF" w14:textId="77777777" w:rsidR="000B42BC" w:rsidRPr="00734252" w:rsidRDefault="000B42BC" w:rsidP="000B42BC">
      <w:pPr>
        <w:pStyle w:val="EndNoteBibliography"/>
        <w:ind w:left="720" w:hanging="720"/>
      </w:pPr>
      <w:r w:rsidRPr="00734252">
        <w:t>3</w:t>
      </w:r>
      <w:r w:rsidRPr="00734252">
        <w:tab/>
        <w:t>McMahon, P. L.</w:t>
      </w:r>
      <w:r w:rsidRPr="00734252">
        <w:rPr>
          <w:i/>
        </w:rPr>
        <w:t xml:space="preserve"> et al.</w:t>
      </w:r>
      <w:r w:rsidRPr="00734252">
        <w:t xml:space="preserve"> A fully programmable 100-spin coherent Ising machine with all-to-all connections. </w:t>
      </w:r>
      <w:r w:rsidRPr="00734252">
        <w:rPr>
          <w:i/>
        </w:rPr>
        <w:t>Science</w:t>
      </w:r>
      <w:r w:rsidRPr="00734252">
        <w:t xml:space="preserve"> </w:t>
      </w:r>
      <w:r w:rsidRPr="00734252">
        <w:rPr>
          <w:b/>
        </w:rPr>
        <w:t>354</w:t>
      </w:r>
      <w:r w:rsidRPr="00734252">
        <w:t>, 614-617 (2016).</w:t>
      </w:r>
    </w:p>
    <w:p w14:paraId="4A8B91B4" w14:textId="77777777" w:rsidR="000B42BC" w:rsidRPr="00734252" w:rsidRDefault="000B42BC" w:rsidP="000B42BC">
      <w:pPr>
        <w:pStyle w:val="EndNoteBibliography"/>
        <w:ind w:left="720" w:hanging="720"/>
      </w:pPr>
      <w:r w:rsidRPr="00734252">
        <w:t>4</w:t>
      </w:r>
      <w:r w:rsidRPr="00734252">
        <w:tab/>
        <w:t>Inagaki, T.</w:t>
      </w:r>
      <w:r w:rsidRPr="00734252">
        <w:rPr>
          <w:i/>
        </w:rPr>
        <w:t xml:space="preserve"> et al.</w:t>
      </w:r>
      <w:r w:rsidRPr="00734252">
        <w:t xml:space="preserve"> A coherent Ising machine for 2000-node optimization problems. </w:t>
      </w:r>
      <w:r w:rsidRPr="00734252">
        <w:rPr>
          <w:i/>
        </w:rPr>
        <w:t>Science</w:t>
      </w:r>
      <w:r w:rsidRPr="00734252">
        <w:t xml:space="preserve"> </w:t>
      </w:r>
      <w:r w:rsidRPr="00734252">
        <w:rPr>
          <w:b/>
        </w:rPr>
        <w:t>354</w:t>
      </w:r>
      <w:r w:rsidRPr="00734252">
        <w:t>, 603-606 (2016).</w:t>
      </w:r>
    </w:p>
    <w:p w14:paraId="676183E6" w14:textId="77777777" w:rsidR="000B42BC" w:rsidRPr="00734252" w:rsidRDefault="000B42BC" w:rsidP="000B42BC">
      <w:pPr>
        <w:pStyle w:val="EndNoteBibliography"/>
        <w:ind w:left="720" w:hanging="720"/>
      </w:pPr>
      <w:r w:rsidRPr="00734252">
        <w:t>5</w:t>
      </w:r>
      <w:r w:rsidRPr="00734252">
        <w:tab/>
        <w:t>Honjo, T.</w:t>
      </w:r>
      <w:r w:rsidRPr="00734252">
        <w:rPr>
          <w:i/>
        </w:rPr>
        <w:t xml:space="preserve"> et al.</w:t>
      </w:r>
      <w:r w:rsidRPr="00734252">
        <w:t xml:space="preserve"> 100,000-spin coherent Ising machine. </w:t>
      </w:r>
      <w:r w:rsidRPr="00734252">
        <w:rPr>
          <w:i/>
        </w:rPr>
        <w:t>Sci. Adv.</w:t>
      </w:r>
      <w:r w:rsidRPr="00734252">
        <w:t xml:space="preserve"> </w:t>
      </w:r>
      <w:r w:rsidRPr="00734252">
        <w:rPr>
          <w:b/>
        </w:rPr>
        <w:t>7</w:t>
      </w:r>
      <w:r w:rsidRPr="00734252">
        <w:t>, eabh0952 (2021).</w:t>
      </w:r>
    </w:p>
    <w:p w14:paraId="230E02C5" w14:textId="77777777" w:rsidR="000B42BC" w:rsidRPr="00734252" w:rsidRDefault="000B42BC" w:rsidP="000B42BC">
      <w:pPr>
        <w:pStyle w:val="EndNoteBibliography"/>
        <w:ind w:left="720" w:hanging="720"/>
      </w:pPr>
      <w:r w:rsidRPr="00734252">
        <w:t>6</w:t>
      </w:r>
      <w:r w:rsidRPr="00734252">
        <w:tab/>
        <w:t xml:space="preserve">Lu, B., Fan, C. R., Liu, L., Wen, K. &amp; Wang, C. Speed-up coherent Ising machine with a spiking neural network. </w:t>
      </w:r>
      <w:r w:rsidRPr="00734252">
        <w:rPr>
          <w:i/>
        </w:rPr>
        <w:t>Opt Express</w:t>
      </w:r>
      <w:r w:rsidRPr="00734252">
        <w:t xml:space="preserve"> </w:t>
      </w:r>
      <w:r w:rsidRPr="00734252">
        <w:rPr>
          <w:b/>
        </w:rPr>
        <w:t>31</w:t>
      </w:r>
      <w:r w:rsidRPr="00734252">
        <w:t>, 3676-3684 (2023).</w:t>
      </w:r>
    </w:p>
    <w:p w14:paraId="6B8D0ED7" w14:textId="77777777" w:rsidR="000B42BC" w:rsidRPr="00734252" w:rsidRDefault="000B42BC" w:rsidP="000B42BC">
      <w:pPr>
        <w:pStyle w:val="EndNoteBibliography"/>
        <w:ind w:left="720" w:hanging="720"/>
      </w:pPr>
      <w:r w:rsidRPr="00734252">
        <w:t>7</w:t>
      </w:r>
      <w:r w:rsidRPr="00734252">
        <w:tab/>
        <w:t xml:space="preserve">Lu, B., Liu, L., Song, J.-Y., Wen, K. &amp; Wang, C. Recent progress on coherent computation based on quantum squeezing. </w:t>
      </w:r>
      <w:r w:rsidRPr="00734252">
        <w:rPr>
          <w:i/>
        </w:rPr>
        <w:t>AAPPS Bulletin</w:t>
      </w:r>
      <w:r w:rsidRPr="00734252">
        <w:t xml:space="preserve"> </w:t>
      </w:r>
      <w:r w:rsidRPr="00734252">
        <w:rPr>
          <w:b/>
        </w:rPr>
        <w:t>33</w:t>
      </w:r>
      <w:r w:rsidRPr="00734252">
        <w:t xml:space="preserve"> (2023).</w:t>
      </w:r>
    </w:p>
    <w:p w14:paraId="1D7F2EB1" w14:textId="77777777" w:rsidR="000B42BC" w:rsidRPr="00734252" w:rsidRDefault="000B42BC" w:rsidP="000B42BC">
      <w:pPr>
        <w:pStyle w:val="EndNoteBibliography"/>
        <w:ind w:left="720" w:hanging="720"/>
      </w:pPr>
      <w:r w:rsidRPr="00734252">
        <w:t>8</w:t>
      </w:r>
      <w:r w:rsidRPr="00734252">
        <w:tab/>
        <w:t xml:space="preserve">Aonishi, T., Mimura, K., Okada, M. &amp; Yamamoto, Y. L0 regularization-based compressed sensing with quantum–classical hybrid approach. </w:t>
      </w:r>
      <w:r w:rsidRPr="00734252">
        <w:rPr>
          <w:i/>
        </w:rPr>
        <w:t>Quant. Sci. Tech.</w:t>
      </w:r>
      <w:r w:rsidRPr="00734252">
        <w:t xml:space="preserve"> </w:t>
      </w:r>
      <w:r w:rsidRPr="00734252">
        <w:rPr>
          <w:b/>
        </w:rPr>
        <w:t>7</w:t>
      </w:r>
      <w:r w:rsidRPr="00734252">
        <w:t xml:space="preserve"> (2022).</w:t>
      </w:r>
    </w:p>
    <w:p w14:paraId="332EF506" w14:textId="77777777" w:rsidR="000B42BC" w:rsidRDefault="000B42BC" w:rsidP="000B42BC">
      <w:pPr>
        <w:pStyle w:val="EndNoteBibliography"/>
        <w:ind w:left="720" w:hanging="720"/>
      </w:pPr>
      <w:r w:rsidRPr="00734252">
        <w:t>9</w:t>
      </w:r>
      <w:r w:rsidRPr="00734252">
        <w:tab/>
        <w:t xml:space="preserve">Takabatake, K., Yanagisawa, K. &amp; Akiyama, Y. Solving Generalized Polyomino Puzzles Using the Ising Model. </w:t>
      </w:r>
      <w:r w:rsidRPr="00734252">
        <w:rPr>
          <w:i/>
        </w:rPr>
        <w:t>Entropy (Basel)</w:t>
      </w:r>
      <w:r w:rsidRPr="00734252">
        <w:t xml:space="preserve"> </w:t>
      </w:r>
      <w:r w:rsidRPr="00734252">
        <w:rPr>
          <w:b/>
        </w:rPr>
        <w:t>24</w:t>
      </w:r>
      <w:r w:rsidRPr="00734252">
        <w:t xml:space="preserve"> (2022).</w:t>
      </w:r>
    </w:p>
    <w:p w14:paraId="2B7AADEA" w14:textId="77777777" w:rsidR="000B42BC" w:rsidRPr="00734252" w:rsidRDefault="000B42BC" w:rsidP="000B42BC">
      <w:pPr>
        <w:pStyle w:val="EndNoteBibliography"/>
        <w:ind w:left="720" w:hanging="720"/>
      </w:pPr>
      <w:r>
        <w:t xml:space="preserve">10 </w:t>
      </w:r>
      <w:r>
        <w:tab/>
      </w:r>
      <w:r w:rsidRPr="00AB174B">
        <w:t>Wen Jingwei, Wang Zhenming, Huang Zhiguo, Cai Dunbo, Jia Bingjie, Cao Chongyu, Ma Yin, Wei Hai, Wen Kai, Qian Ling, Optical experimental solution for the multiway number partitioning problem and its application to computing power scheduling,  SCIENCE CHINA Physics, Mechanics &amp; Astronomy, 2023</w:t>
      </w:r>
    </w:p>
    <w:p w14:paraId="14B80D51" w14:textId="7742C66F" w:rsidR="00D70147" w:rsidRPr="000B42BC" w:rsidRDefault="000B42BC" w:rsidP="000B42BC">
      <w:pPr>
        <w:spacing w:line="360" w:lineRule="auto"/>
        <w:rPr>
          <w:b/>
          <w:bCs/>
          <w:sz w:val="24"/>
          <w:szCs w:val="32"/>
        </w:rPr>
      </w:pPr>
      <w:r w:rsidRPr="0098785C">
        <w:rPr>
          <w:rFonts w:cs="Times New Roman"/>
        </w:rPr>
        <w:fldChar w:fldCharType="end"/>
      </w:r>
    </w:p>
    <w:sectPr w:rsidR="00D70147" w:rsidRPr="000B42BC" w:rsidSect="00082D98">
      <w:headerReference w:type="default" r:id="rId14"/>
      <w:pgSz w:w="11906" w:h="16838"/>
      <w:pgMar w:top="1440" w:right="1800" w:bottom="1440" w:left="1800" w:header="567"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804CB6" w14:textId="77777777" w:rsidR="00F53CCE" w:rsidRDefault="00F53CCE" w:rsidP="000B42BC">
      <w:r>
        <w:separator/>
      </w:r>
    </w:p>
  </w:endnote>
  <w:endnote w:type="continuationSeparator" w:id="0">
    <w:p w14:paraId="703445D8" w14:textId="77777777" w:rsidR="00F53CCE" w:rsidRDefault="00F53CCE" w:rsidP="000B42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7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52835D" w14:textId="77777777" w:rsidR="00F53CCE" w:rsidRDefault="00F53CCE" w:rsidP="000B42BC">
      <w:r>
        <w:separator/>
      </w:r>
    </w:p>
  </w:footnote>
  <w:footnote w:type="continuationSeparator" w:id="0">
    <w:p w14:paraId="6D3554D9" w14:textId="77777777" w:rsidR="00F53CCE" w:rsidRDefault="00F53CCE" w:rsidP="000B42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FAE9F" w14:textId="6E9BBEC9" w:rsidR="00086C25" w:rsidRDefault="00086C25" w:rsidP="00082D98">
    <w:pPr>
      <w:pStyle w:val="a4"/>
    </w:pPr>
    <w:r>
      <w:rPr>
        <w:noProof/>
      </w:rPr>
      <w:drawing>
        <wp:inline distT="0" distB="0" distL="0" distR="0" wp14:anchorId="2F187390" wp14:editId="69A6B2A7">
          <wp:extent cx="2747990" cy="364066"/>
          <wp:effectExtent l="0" t="0" r="0" b="4445"/>
          <wp:docPr id="100160460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46496" cy="377117"/>
                  </a:xfrm>
                  <a:prstGeom prst="rect">
                    <a:avLst/>
                  </a:prstGeom>
                  <a:noFill/>
                  <a:ln>
                    <a:noFill/>
                  </a:ln>
                </pic:spPr>
              </pic:pic>
            </a:graphicData>
          </a:graphic>
        </wp:inline>
      </w:drawing>
    </w:r>
  </w:p>
  <w:p w14:paraId="7C2D203D" w14:textId="7ECEF0CC" w:rsidR="00086C25" w:rsidRDefault="00086C25">
    <w:pPr>
      <w:pStyle w:val="a4"/>
    </w:pPr>
    <w:r>
      <w:rPr>
        <w:noProof/>
      </w:rPr>
      <mc:AlternateContent>
        <mc:Choice Requires="wps">
          <w:drawing>
            <wp:anchor distT="0" distB="0" distL="114300" distR="114300" simplePos="0" relativeHeight="251659264" behindDoc="0" locked="0" layoutInCell="1" allowOverlap="1" wp14:anchorId="63F8CF33" wp14:editId="27106459">
              <wp:simplePos x="0" y="0"/>
              <wp:positionH relativeFrom="column">
                <wp:posOffset>1401</wp:posOffset>
              </wp:positionH>
              <wp:positionV relativeFrom="paragraph">
                <wp:posOffset>177905</wp:posOffset>
              </wp:positionV>
              <wp:extent cx="5295667" cy="0"/>
              <wp:effectExtent l="0" t="0" r="0" b="0"/>
              <wp:wrapNone/>
              <wp:docPr id="574008128" name="直接连接符 2"/>
              <wp:cNvGraphicFramePr/>
              <a:graphic xmlns:a="http://schemas.openxmlformats.org/drawingml/2006/main">
                <a:graphicData uri="http://schemas.microsoft.com/office/word/2010/wordprocessingShape">
                  <wps:wsp>
                    <wps:cNvCnPr/>
                    <wps:spPr>
                      <a:xfrm>
                        <a:off x="0" y="0"/>
                        <a:ext cx="529566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w:pict>
            <v:line w14:anchorId="55588F82" id="直接连接符 2"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1pt,14pt" to="417.1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" strokecolor="black [3200]" strokeweight="1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22FF81F"/>
    <w:multiLevelType w:val="singleLevel"/>
    <w:tmpl w:val="A22FF81F"/>
    <w:lvl w:ilvl="0">
      <w:start w:val="1"/>
      <w:numFmt w:val="chineseCounting"/>
      <w:suff w:val="nothing"/>
      <w:lvlText w:val="%1、"/>
      <w:lvlJc w:val="left"/>
      <w:pPr>
        <w:ind w:left="-420" w:firstLine="420"/>
      </w:pPr>
      <w:rPr>
        <w:rFonts w:hint="eastAsia"/>
      </w:rPr>
    </w:lvl>
  </w:abstractNum>
  <w:num w:numId="1" w16cid:durableId="19868571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proofState w:spelling="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DhmZWI4M2M1NDJjOTlmMjY1ZjMzOWJkZjE5MGU3ZmQifQ=="/>
  </w:docVars>
  <w:rsids>
    <w:rsidRoot w:val="00D70147"/>
    <w:rsid w:val="000550F3"/>
    <w:rsid w:val="00082D98"/>
    <w:rsid w:val="00086C25"/>
    <w:rsid w:val="000B42BC"/>
    <w:rsid w:val="00126572"/>
    <w:rsid w:val="00876A70"/>
    <w:rsid w:val="00A542BF"/>
    <w:rsid w:val="00A709D5"/>
    <w:rsid w:val="00BC56F9"/>
    <w:rsid w:val="00C20E82"/>
    <w:rsid w:val="00D14D8B"/>
    <w:rsid w:val="00D70147"/>
    <w:rsid w:val="00F53CCE"/>
    <w:rsid w:val="00FD5D1C"/>
    <w:rsid w:val="02443EB7"/>
    <w:rsid w:val="12FE063A"/>
    <w:rsid w:val="1CFC4676"/>
    <w:rsid w:val="48A20B43"/>
    <w:rsid w:val="520A77F1"/>
    <w:rsid w:val="75B859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EE5C5F"/>
  <w15:docId w15:val="{9DF9BC05-792C-4233-85B3-9083D28FF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0"/>
    <w:uiPriority w:val="9"/>
    <w:qFormat/>
    <w:rsid w:val="000B42BC"/>
    <w:pPr>
      <w:keepNext/>
      <w:keepLines/>
      <w:adjustRightInd w:val="0"/>
      <w:snapToGrid w:val="0"/>
      <w:spacing w:before="120" w:after="120"/>
      <w:jc w:val="left"/>
      <w:outlineLvl w:val="0"/>
    </w:pPr>
    <w:rPr>
      <w:rFonts w:ascii="Times New Roman" w:eastAsiaTheme="majorEastAsia" w:hAnsi="Times New Roman" w:cstheme="majorBidi"/>
      <w:b/>
      <w:sz w:val="28"/>
      <w:szCs w:val="32"/>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paragraph" w:styleId="a4">
    <w:name w:val="header"/>
    <w:basedOn w:val="a"/>
    <w:link w:val="a5"/>
    <w:uiPriority w:val="99"/>
    <w:rsid w:val="000B42BC"/>
    <w:pPr>
      <w:tabs>
        <w:tab w:val="center" w:pos="4153"/>
        <w:tab w:val="right" w:pos="8306"/>
      </w:tabs>
      <w:snapToGrid w:val="0"/>
      <w:jc w:val="center"/>
    </w:pPr>
    <w:rPr>
      <w:sz w:val="18"/>
      <w:szCs w:val="18"/>
    </w:rPr>
  </w:style>
  <w:style w:type="character" w:customStyle="1" w:styleId="a5">
    <w:name w:val="页眉 字符"/>
    <w:basedOn w:val="a0"/>
    <w:link w:val="a4"/>
    <w:uiPriority w:val="99"/>
    <w:rsid w:val="000B42BC"/>
    <w:rPr>
      <w:rFonts w:asciiTheme="minorHAnsi" w:eastAsiaTheme="minorEastAsia" w:hAnsiTheme="minorHAnsi" w:cstheme="minorBidi"/>
      <w:kern w:val="2"/>
      <w:sz w:val="18"/>
      <w:szCs w:val="18"/>
    </w:rPr>
  </w:style>
  <w:style w:type="paragraph" w:styleId="a6">
    <w:name w:val="footer"/>
    <w:basedOn w:val="a"/>
    <w:link w:val="a7"/>
    <w:rsid w:val="000B42BC"/>
    <w:pPr>
      <w:tabs>
        <w:tab w:val="center" w:pos="4153"/>
        <w:tab w:val="right" w:pos="8306"/>
      </w:tabs>
      <w:snapToGrid w:val="0"/>
      <w:jc w:val="left"/>
    </w:pPr>
    <w:rPr>
      <w:sz w:val="18"/>
      <w:szCs w:val="18"/>
    </w:rPr>
  </w:style>
  <w:style w:type="character" w:customStyle="1" w:styleId="a7">
    <w:name w:val="页脚 字符"/>
    <w:basedOn w:val="a0"/>
    <w:link w:val="a6"/>
    <w:rsid w:val="000B42BC"/>
    <w:rPr>
      <w:rFonts w:asciiTheme="minorHAnsi" w:eastAsiaTheme="minorEastAsia" w:hAnsiTheme="minorHAnsi" w:cstheme="minorBidi"/>
      <w:kern w:val="2"/>
      <w:sz w:val="18"/>
      <w:szCs w:val="18"/>
    </w:rPr>
  </w:style>
  <w:style w:type="character" w:customStyle="1" w:styleId="10">
    <w:name w:val="标题 1 字符"/>
    <w:basedOn w:val="a0"/>
    <w:link w:val="1"/>
    <w:uiPriority w:val="9"/>
    <w:rsid w:val="000B42BC"/>
    <w:rPr>
      <w:rFonts w:eastAsiaTheme="majorEastAsia" w:cstheme="majorBidi"/>
      <w:b/>
      <w:kern w:val="2"/>
      <w:sz w:val="28"/>
      <w:szCs w:val="32"/>
      <w:u w:color="000000"/>
    </w:rPr>
  </w:style>
  <w:style w:type="paragraph" w:customStyle="1" w:styleId="EndNoteBibliography">
    <w:name w:val="EndNote Bibliography"/>
    <w:basedOn w:val="a"/>
    <w:link w:val="EndNoteBibliography0"/>
    <w:rsid w:val="000B42BC"/>
    <w:pPr>
      <w:adjustRightInd w:val="0"/>
      <w:snapToGrid w:val="0"/>
    </w:pPr>
    <w:rPr>
      <w:rFonts w:ascii="Times New Roman" w:eastAsia="Arial Unicode MS" w:hAnsi="Times New Roman" w:cs="Times New Roman"/>
      <w:noProof/>
      <w:color w:val="000000"/>
      <w:sz w:val="22"/>
      <w:szCs w:val="21"/>
      <w:u w:color="000000"/>
    </w:rPr>
  </w:style>
  <w:style w:type="character" w:customStyle="1" w:styleId="EndNoteBibliography0">
    <w:name w:val="EndNote Bibliography 字符"/>
    <w:basedOn w:val="a0"/>
    <w:link w:val="EndNoteBibliography"/>
    <w:rsid w:val="000B42BC"/>
    <w:rPr>
      <w:rFonts w:eastAsia="Arial Unicode MS"/>
      <w:noProof/>
      <w:color w:val="000000"/>
      <w:kern w:val="2"/>
      <w:sz w:val="22"/>
      <w:szCs w:val="21"/>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3</Pages>
  <Words>471</Words>
  <Characters>2690</Characters>
  <Application>Microsoft Office Word</Application>
  <DocSecurity>0</DocSecurity>
  <Lines>22</Lines>
  <Paragraphs>6</Paragraphs>
  <ScaleCrop>false</ScaleCrop>
  <Company/>
  <LinksUpToDate>false</LinksUpToDate>
  <CharactersWithSpaces>3155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jujw</dc:creator>
  <cp:lastModifiedBy>Microsoft Office User</cp:lastModifiedBy>
  <cp:revision>6</cp:revision>
  <cp:lastPrinted>2024-06-20T03:43:00Z</cp:lastPrinted>
  <dcterms:created xsi:type="dcterms:W3CDTF">2024-06-06T07:51:00Z</dcterms:created>
  <dcterms:modified xsi:type="dcterms:W3CDTF">2024-07-30T11:27:00Z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5089E614C17F44CF8B373D5744F6A5F7_12</vt:lpwstr>
  </property>
</Properties>
</file>